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E376" w14:textId="77777777" w:rsidR="0084467E" w:rsidRPr="00BE6707" w:rsidRDefault="0084467E" w:rsidP="00812B98">
      <w:pPr>
        <w:ind w:firstLine="20"/>
        <w:jc w:val="center"/>
        <w:rPr>
          <w:rFonts w:ascii="Times New Roman" w:hAnsi="Times New Roman"/>
          <w:b/>
          <w:szCs w:val="24"/>
        </w:rPr>
      </w:pPr>
    </w:p>
    <w:p w14:paraId="4DAFE568" w14:textId="77777777" w:rsidR="0084467E" w:rsidRPr="00BE6707" w:rsidRDefault="0084467E" w:rsidP="00812B98">
      <w:pPr>
        <w:ind w:firstLine="20"/>
        <w:jc w:val="center"/>
        <w:rPr>
          <w:rFonts w:ascii="Times New Roman" w:hAnsi="Times New Roman"/>
          <w:b/>
          <w:szCs w:val="24"/>
        </w:rPr>
      </w:pPr>
    </w:p>
    <w:p w14:paraId="7000A1D1" w14:textId="77777777" w:rsidR="001D0A75" w:rsidRPr="00BE6707" w:rsidRDefault="00A4319E" w:rsidP="001D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b/>
          <w:szCs w:val="24"/>
        </w:rPr>
        <w:t>AIDE À</w:t>
      </w:r>
      <w:r w:rsidR="001D0A75" w:rsidRPr="00BE6707">
        <w:rPr>
          <w:rFonts w:ascii="Times New Roman" w:hAnsi="Times New Roman"/>
          <w:b/>
          <w:szCs w:val="24"/>
        </w:rPr>
        <w:t xml:space="preserve"> LA MOBILITÉ INTERNATIONALE DES DOCTORANTS</w:t>
      </w:r>
    </w:p>
    <w:p w14:paraId="634CC35D" w14:textId="77777777" w:rsidR="001D0A75" w:rsidRPr="00BE6707" w:rsidRDefault="00790930" w:rsidP="001D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/>
          <w:szCs w:val="24"/>
        </w:rPr>
      </w:pPr>
      <w:r w:rsidRPr="00BE6707">
        <w:rPr>
          <w:rFonts w:ascii="Times New Roman" w:hAnsi="Times New Roman"/>
          <w:b/>
          <w:color w:val="000000"/>
          <w:szCs w:val="24"/>
        </w:rPr>
        <w:t>Collège des écoles doctorales</w:t>
      </w:r>
      <w:r w:rsidR="001D0A75" w:rsidRPr="00BE6707">
        <w:rPr>
          <w:rFonts w:ascii="Times New Roman" w:hAnsi="Times New Roman"/>
          <w:b/>
          <w:color w:val="000000"/>
          <w:szCs w:val="24"/>
        </w:rPr>
        <w:t xml:space="preserve"> – Université Paris 1 Panthéon-Sorbonne</w:t>
      </w:r>
    </w:p>
    <w:p w14:paraId="12EFAB1E" w14:textId="77777777" w:rsidR="001D0A75" w:rsidRPr="00BE6707" w:rsidRDefault="001D0A75" w:rsidP="001D0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</w:p>
    <w:p w14:paraId="0F8459B2" w14:textId="77777777" w:rsidR="001D0A75" w:rsidRPr="00BE6707" w:rsidRDefault="001D0A75" w:rsidP="001D0A75">
      <w:pPr>
        <w:jc w:val="center"/>
        <w:rPr>
          <w:rFonts w:ascii="Times New Roman" w:hAnsi="Times New Roman"/>
          <w:b/>
          <w:szCs w:val="24"/>
        </w:rPr>
      </w:pPr>
    </w:p>
    <w:p w14:paraId="6371B331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</w:p>
    <w:p w14:paraId="1BF43B1D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b/>
          <w:szCs w:val="24"/>
        </w:rPr>
        <w:t>1 – Objectifs</w:t>
      </w:r>
    </w:p>
    <w:p w14:paraId="038C98FC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</w:p>
    <w:p w14:paraId="43D5C008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Favoriser l</w:t>
      </w:r>
      <w:r w:rsidR="002B0BB3" w:rsidRPr="00BE6707">
        <w:rPr>
          <w:rFonts w:ascii="Times New Roman" w:hAnsi="Times New Roman"/>
          <w:szCs w:val="24"/>
        </w:rPr>
        <w:t>a mobilité des doctorants de l’u</w:t>
      </w:r>
      <w:r w:rsidRPr="00BE6707">
        <w:rPr>
          <w:rFonts w:ascii="Times New Roman" w:hAnsi="Times New Roman"/>
          <w:szCs w:val="24"/>
        </w:rPr>
        <w:t>niversité dans le cadre de leurs travaux de recherche, dans des espaces scientifiques et culturels différents en contribuant au financement de séjours de recherche de courte durée (de 3 à 12 semaines), à l’exclusion des colloques et séminaires à l’étranger. Conforter la dimension internationale des écoles doctorales, développer les coopérations scientifiques entre équipes de recherche françaises et étrangères.</w:t>
      </w:r>
    </w:p>
    <w:p w14:paraId="7A34CD7E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56BC4BC4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b/>
          <w:szCs w:val="24"/>
        </w:rPr>
        <w:t>2 – Conditions d’éligibilité</w:t>
      </w:r>
    </w:p>
    <w:p w14:paraId="10B374C0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4F92955C" w14:textId="77777777" w:rsidR="001D0A75" w:rsidRPr="00BE6707" w:rsidRDefault="002B0BB3" w:rsidP="001D0A75">
      <w:pPr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szCs w:val="24"/>
        </w:rPr>
        <w:t>Ê</w:t>
      </w:r>
      <w:r w:rsidR="001D0A75" w:rsidRPr="00BE6707">
        <w:rPr>
          <w:rFonts w:ascii="Times New Roman" w:hAnsi="Times New Roman"/>
          <w:szCs w:val="24"/>
        </w:rPr>
        <w:t>tre inscrit en 1</w:t>
      </w:r>
      <w:r w:rsidR="001D0A75" w:rsidRPr="00BE6707">
        <w:rPr>
          <w:rFonts w:ascii="Times New Roman" w:hAnsi="Times New Roman"/>
          <w:szCs w:val="24"/>
          <w:vertAlign w:val="superscript"/>
        </w:rPr>
        <w:t>ère</w:t>
      </w:r>
      <w:r w:rsidR="001D0A75" w:rsidRPr="00BE6707">
        <w:rPr>
          <w:rFonts w:ascii="Times New Roman" w:hAnsi="Times New Roman"/>
          <w:szCs w:val="24"/>
        </w:rPr>
        <w:t>, 2</w:t>
      </w:r>
      <w:r w:rsidR="001D0A75" w:rsidRPr="00BE6707">
        <w:rPr>
          <w:rFonts w:ascii="Times New Roman" w:hAnsi="Times New Roman"/>
          <w:szCs w:val="24"/>
          <w:vertAlign w:val="superscript"/>
        </w:rPr>
        <w:t>ème</w:t>
      </w:r>
      <w:r w:rsidR="001D0A75" w:rsidRPr="00BE6707">
        <w:rPr>
          <w:rFonts w:ascii="Times New Roman" w:hAnsi="Times New Roman"/>
          <w:szCs w:val="24"/>
        </w:rPr>
        <w:t xml:space="preserve"> ou 3</w:t>
      </w:r>
      <w:r w:rsidR="001D0A75" w:rsidRPr="00BE6707">
        <w:rPr>
          <w:rFonts w:ascii="Times New Roman" w:hAnsi="Times New Roman"/>
          <w:szCs w:val="24"/>
          <w:vertAlign w:val="superscript"/>
        </w:rPr>
        <w:t>ème</w:t>
      </w:r>
      <w:r w:rsidR="001D0A75" w:rsidRPr="00BE6707">
        <w:rPr>
          <w:rFonts w:ascii="Times New Roman" w:hAnsi="Times New Roman"/>
          <w:szCs w:val="24"/>
        </w:rPr>
        <w:t xml:space="preserve"> année de doctorat au sein d’une équipe de recherche de Paris 1 ;</w:t>
      </w:r>
    </w:p>
    <w:p w14:paraId="4578B952" w14:textId="77777777" w:rsidR="001D0A75" w:rsidRPr="00BE6707" w:rsidRDefault="001D0A75" w:rsidP="001D0A75">
      <w:pPr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szCs w:val="24"/>
        </w:rPr>
        <w:t>Au-delà de la 3ème année, des dérogations exceptionnelles pourront être accordées sur avis du directeur de thè</w:t>
      </w:r>
      <w:r w:rsidR="006F1119" w:rsidRPr="00BE6707">
        <w:rPr>
          <w:rFonts w:ascii="Times New Roman" w:hAnsi="Times New Roman"/>
          <w:szCs w:val="24"/>
        </w:rPr>
        <w:t>se et de l’é</w:t>
      </w:r>
      <w:r w:rsidRPr="00BE6707">
        <w:rPr>
          <w:rFonts w:ascii="Times New Roman" w:hAnsi="Times New Roman"/>
          <w:szCs w:val="24"/>
        </w:rPr>
        <w:t>cole doctorale et présentation de pièces justificatives ;</w:t>
      </w:r>
    </w:p>
    <w:p w14:paraId="436A62E5" w14:textId="77777777" w:rsidR="001D0A75" w:rsidRPr="00BE6707" w:rsidRDefault="00E85A54" w:rsidP="001D0A75">
      <w:pPr>
        <w:numPr>
          <w:ilvl w:val="0"/>
          <w:numId w:val="3"/>
        </w:num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szCs w:val="24"/>
        </w:rPr>
        <w:t>Ê</w:t>
      </w:r>
      <w:r w:rsidR="001D0A75" w:rsidRPr="00BE6707">
        <w:rPr>
          <w:rFonts w:ascii="Times New Roman" w:hAnsi="Times New Roman"/>
          <w:szCs w:val="24"/>
        </w:rPr>
        <w:t>tre à jour de son inscription administrative.</w:t>
      </w:r>
    </w:p>
    <w:p w14:paraId="6360B871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</w:p>
    <w:p w14:paraId="1090AB4F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b/>
          <w:szCs w:val="24"/>
        </w:rPr>
        <w:t>3 – Domaines scientifiques et géographiques</w:t>
      </w:r>
    </w:p>
    <w:p w14:paraId="1908AA87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</w:p>
    <w:p w14:paraId="7C82B2B0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Toutes disciplines, tous pays.</w:t>
      </w:r>
    </w:p>
    <w:p w14:paraId="3D0E0C3D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5EF85534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b/>
          <w:szCs w:val="24"/>
        </w:rPr>
        <w:t>4 – Soutien financier</w:t>
      </w:r>
    </w:p>
    <w:p w14:paraId="77E98BF2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55AABDDF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Les crédits « mobilité internationale » sont destinés à prendre en charge prioritairement les frais de transport et d’hébergement dans la limite de l’enveloppe attribuée</w:t>
      </w:r>
      <w:r w:rsidRPr="00BE6707">
        <w:rPr>
          <w:rFonts w:ascii="Times New Roman" w:hAnsi="Times New Roman"/>
          <w:b/>
          <w:szCs w:val="24"/>
        </w:rPr>
        <w:t>. Il s’agit d’aides ponctuelles et non renouvelables</w:t>
      </w:r>
      <w:r w:rsidRPr="00BE6707">
        <w:rPr>
          <w:rFonts w:ascii="Times New Roman" w:hAnsi="Times New Roman"/>
          <w:szCs w:val="24"/>
        </w:rPr>
        <w:t xml:space="preserve"> </w:t>
      </w:r>
      <w:r w:rsidRPr="00BE6707">
        <w:rPr>
          <w:rFonts w:ascii="Times New Roman" w:hAnsi="Times New Roman"/>
          <w:b/>
          <w:szCs w:val="24"/>
        </w:rPr>
        <w:t>pour la durée de la thèse</w:t>
      </w:r>
      <w:r w:rsidRPr="00BE6707">
        <w:rPr>
          <w:rFonts w:ascii="Times New Roman" w:hAnsi="Times New Roman"/>
          <w:szCs w:val="24"/>
        </w:rPr>
        <w:t>.</w:t>
      </w:r>
    </w:p>
    <w:p w14:paraId="1242F0B3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2D18D0F4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b/>
          <w:szCs w:val="24"/>
        </w:rPr>
        <w:t>5 – Modalités de présentation</w:t>
      </w:r>
    </w:p>
    <w:p w14:paraId="2C14F6E2" w14:textId="77777777" w:rsidR="001D0A75" w:rsidRPr="00BE6707" w:rsidRDefault="001D0A75" w:rsidP="001D0A75">
      <w:pPr>
        <w:jc w:val="both"/>
        <w:rPr>
          <w:rFonts w:ascii="Times New Roman" w:hAnsi="Times New Roman"/>
          <w:b/>
          <w:szCs w:val="24"/>
        </w:rPr>
      </w:pPr>
    </w:p>
    <w:p w14:paraId="3B501890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 xml:space="preserve">La demande est présentée par le directeur de thèse, sous couvert du </w:t>
      </w:r>
      <w:r w:rsidR="00077BC4" w:rsidRPr="00BE6707">
        <w:rPr>
          <w:rFonts w:ascii="Times New Roman" w:hAnsi="Times New Roman"/>
          <w:szCs w:val="24"/>
        </w:rPr>
        <w:t>directeur</w:t>
      </w:r>
      <w:r w:rsidRPr="00BE6707">
        <w:rPr>
          <w:rFonts w:ascii="Times New Roman" w:hAnsi="Times New Roman"/>
          <w:szCs w:val="24"/>
        </w:rPr>
        <w:t xml:space="preserve"> de l’école doctorale, et transmis</w:t>
      </w:r>
      <w:r w:rsidR="00077BC4" w:rsidRPr="00BE6707">
        <w:rPr>
          <w:rFonts w:ascii="Times New Roman" w:hAnsi="Times New Roman"/>
          <w:szCs w:val="24"/>
        </w:rPr>
        <w:t>e</w:t>
      </w:r>
      <w:r w:rsidRPr="00BE6707">
        <w:rPr>
          <w:rFonts w:ascii="Times New Roman" w:hAnsi="Times New Roman"/>
          <w:szCs w:val="24"/>
        </w:rPr>
        <w:t xml:space="preserve"> par </w:t>
      </w:r>
      <w:r w:rsidR="00077BC4" w:rsidRPr="00BE6707">
        <w:rPr>
          <w:rFonts w:ascii="Times New Roman" w:hAnsi="Times New Roman"/>
          <w:szCs w:val="24"/>
        </w:rPr>
        <w:t>ce dernier</w:t>
      </w:r>
      <w:r w:rsidR="00CD16FE" w:rsidRPr="00BE6707">
        <w:rPr>
          <w:rFonts w:ascii="Times New Roman" w:hAnsi="Times New Roman"/>
          <w:szCs w:val="24"/>
        </w:rPr>
        <w:t xml:space="preserve"> au Collège des é</w:t>
      </w:r>
      <w:r w:rsidRPr="00BE6707">
        <w:rPr>
          <w:rFonts w:ascii="Times New Roman" w:hAnsi="Times New Roman"/>
          <w:szCs w:val="24"/>
        </w:rPr>
        <w:t>coles doctorales. Elle est accompagnée d’une lettre d’invitation du responsable du (ou des) laboratoire(s) d’accueil à l’étranger ou d’une personnalité scientifique de ce(s) pays.</w:t>
      </w:r>
    </w:p>
    <w:p w14:paraId="0ACB2BB3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2F582E45" w14:textId="77777777" w:rsidR="001D0A75" w:rsidRPr="00BE6707" w:rsidRDefault="0084467E" w:rsidP="001D0A75">
      <w:pPr>
        <w:rPr>
          <w:rFonts w:ascii="Times New Roman" w:hAnsi="Times New Roman"/>
          <w:b/>
          <w:szCs w:val="24"/>
        </w:rPr>
      </w:pPr>
      <w:r w:rsidRPr="00BE6707">
        <w:rPr>
          <w:rFonts w:ascii="Times New Roman" w:hAnsi="Times New Roman"/>
          <w:b/>
          <w:szCs w:val="24"/>
        </w:rPr>
        <w:br w:type="page"/>
      </w:r>
      <w:r w:rsidR="001D0A75" w:rsidRPr="00BE6707">
        <w:rPr>
          <w:rFonts w:ascii="Times New Roman" w:hAnsi="Times New Roman"/>
          <w:b/>
          <w:szCs w:val="24"/>
        </w:rPr>
        <w:lastRenderedPageBreak/>
        <w:t>Pièces à joindre :</w:t>
      </w:r>
    </w:p>
    <w:p w14:paraId="64F3E867" w14:textId="77777777" w:rsidR="001D0A75" w:rsidRPr="00BE6707" w:rsidRDefault="001D0A75" w:rsidP="001D0A75">
      <w:pPr>
        <w:rPr>
          <w:rFonts w:ascii="Times New Roman" w:hAnsi="Times New Roman"/>
          <w:b/>
          <w:szCs w:val="24"/>
        </w:rPr>
      </w:pPr>
    </w:p>
    <w:p w14:paraId="7C27A15D" w14:textId="77777777" w:rsidR="001D0A75" w:rsidRPr="00BE6707" w:rsidRDefault="001D0A75" w:rsidP="001D0A75">
      <w:pPr>
        <w:ind w:left="18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1 – La fiche de candidature</w:t>
      </w:r>
    </w:p>
    <w:p w14:paraId="176666D9" w14:textId="77777777" w:rsidR="001D0A75" w:rsidRPr="00BE6707" w:rsidRDefault="001D0A75" w:rsidP="001D0A75">
      <w:pPr>
        <w:ind w:left="18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 xml:space="preserve">2 </w:t>
      </w:r>
      <w:r w:rsidR="00634325" w:rsidRPr="00BE6707">
        <w:rPr>
          <w:rFonts w:ascii="Times New Roman" w:hAnsi="Times New Roman"/>
          <w:szCs w:val="24"/>
        </w:rPr>
        <w:t>–</w:t>
      </w:r>
      <w:r w:rsidRPr="00BE6707">
        <w:rPr>
          <w:rFonts w:ascii="Times New Roman" w:hAnsi="Times New Roman"/>
          <w:szCs w:val="24"/>
        </w:rPr>
        <w:t xml:space="preserve"> </w:t>
      </w:r>
      <w:r w:rsidR="00634325" w:rsidRPr="00BE6707">
        <w:rPr>
          <w:rFonts w:ascii="Times New Roman" w:hAnsi="Times New Roman"/>
          <w:szCs w:val="24"/>
        </w:rPr>
        <w:t xml:space="preserve">Un </w:t>
      </w:r>
      <w:r w:rsidR="00634325" w:rsidRPr="00BE6707">
        <w:rPr>
          <w:rFonts w:ascii="Times New Roman" w:hAnsi="Times New Roman"/>
          <w:i/>
          <w:szCs w:val="24"/>
        </w:rPr>
        <w:t>c</w:t>
      </w:r>
      <w:r w:rsidRPr="00BE6707">
        <w:rPr>
          <w:rFonts w:ascii="Times New Roman" w:hAnsi="Times New Roman"/>
          <w:i/>
          <w:szCs w:val="24"/>
        </w:rPr>
        <w:t>urriculum vitae</w:t>
      </w:r>
      <w:r w:rsidRPr="00BE6707">
        <w:rPr>
          <w:rFonts w:ascii="Times New Roman" w:hAnsi="Times New Roman"/>
          <w:szCs w:val="24"/>
        </w:rPr>
        <w:t>.</w:t>
      </w:r>
    </w:p>
    <w:p w14:paraId="4E844243" w14:textId="77777777" w:rsidR="001D0A75" w:rsidRPr="00BE6707" w:rsidRDefault="005D475F" w:rsidP="001D0A75">
      <w:pPr>
        <w:ind w:left="18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3 – La l</w:t>
      </w:r>
      <w:r w:rsidR="001D0A75" w:rsidRPr="00BE6707">
        <w:rPr>
          <w:rFonts w:ascii="Times New Roman" w:hAnsi="Times New Roman"/>
          <w:szCs w:val="24"/>
        </w:rPr>
        <w:t>ettre de motivation concernant cette mobilité.</w:t>
      </w:r>
    </w:p>
    <w:p w14:paraId="42EEDD5B" w14:textId="77777777" w:rsidR="001D0A75" w:rsidRPr="00BE6707" w:rsidRDefault="005D475F" w:rsidP="001D0A75">
      <w:pPr>
        <w:ind w:left="18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4 – Le p</w:t>
      </w:r>
      <w:r w:rsidR="001D0A75" w:rsidRPr="00BE6707">
        <w:rPr>
          <w:rFonts w:ascii="Times New Roman" w:hAnsi="Times New Roman"/>
          <w:szCs w:val="24"/>
        </w:rPr>
        <w:t>rojet de thèse (2 ou 3 pages)</w:t>
      </w:r>
    </w:p>
    <w:p w14:paraId="60AEBDCE" w14:textId="77777777" w:rsidR="001D0A75" w:rsidRPr="00BE6707" w:rsidRDefault="005D475F" w:rsidP="001D0A75">
      <w:pPr>
        <w:ind w:left="18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5 – La c</w:t>
      </w:r>
      <w:r w:rsidR="001D0A75" w:rsidRPr="00BE6707">
        <w:rPr>
          <w:rFonts w:ascii="Times New Roman" w:hAnsi="Times New Roman"/>
          <w:szCs w:val="24"/>
        </w:rPr>
        <w:t>opie de la carte d’étudiant en cours de validité.</w:t>
      </w:r>
    </w:p>
    <w:p w14:paraId="2AB46832" w14:textId="77777777" w:rsidR="001D0A75" w:rsidRPr="00BE6707" w:rsidRDefault="005D475F" w:rsidP="001D0A75">
      <w:pPr>
        <w:ind w:left="18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6 – La c</w:t>
      </w:r>
      <w:r w:rsidR="001D0A75" w:rsidRPr="00BE6707">
        <w:rPr>
          <w:rFonts w:ascii="Times New Roman" w:hAnsi="Times New Roman"/>
          <w:szCs w:val="24"/>
        </w:rPr>
        <w:t xml:space="preserve">opie de </w:t>
      </w:r>
      <w:r w:rsidRPr="00BE6707">
        <w:rPr>
          <w:rFonts w:ascii="Times New Roman" w:hAnsi="Times New Roman"/>
          <w:szCs w:val="24"/>
        </w:rPr>
        <w:t>la convention de co</w:t>
      </w:r>
      <w:r w:rsidR="001D0A75" w:rsidRPr="00BE6707">
        <w:rPr>
          <w:rFonts w:ascii="Times New Roman" w:hAnsi="Times New Roman"/>
          <w:szCs w:val="24"/>
        </w:rPr>
        <w:t>tutelle signée par les 2 parties, le cas échéant.</w:t>
      </w:r>
    </w:p>
    <w:p w14:paraId="660E1044" w14:textId="77777777" w:rsidR="001D0A75" w:rsidRPr="00BE6707" w:rsidRDefault="00131DA3" w:rsidP="001D0A75">
      <w:pPr>
        <w:ind w:left="18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7 – Le r</w:t>
      </w:r>
      <w:r w:rsidR="001D0A75" w:rsidRPr="00BE6707">
        <w:rPr>
          <w:rFonts w:ascii="Times New Roman" w:hAnsi="Times New Roman"/>
          <w:szCs w:val="24"/>
        </w:rPr>
        <w:t>écapitulatif budgétaire détaillant les dépenses envisagées (transport, hébergement, …).</w:t>
      </w:r>
    </w:p>
    <w:p w14:paraId="4492F332" w14:textId="77777777" w:rsidR="001D0A75" w:rsidRPr="00BE6707" w:rsidRDefault="007F5464" w:rsidP="001D0A75">
      <w:pPr>
        <w:ind w:left="540" w:hanging="360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8 – La l</w:t>
      </w:r>
      <w:r w:rsidR="001D0A75" w:rsidRPr="00BE6707">
        <w:rPr>
          <w:rFonts w:ascii="Times New Roman" w:hAnsi="Times New Roman"/>
          <w:szCs w:val="24"/>
        </w:rPr>
        <w:t>ettre de soutien du directeur de thèse, du responsable du (ou des) laboratoire(s) d’accueil à l’étranger ou d’une personnalité scientifique de ce(s) pays.</w:t>
      </w:r>
    </w:p>
    <w:p w14:paraId="54888D9E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15ADD90B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szCs w:val="24"/>
        </w:rPr>
        <w:t>L’évaluation prendra en compte</w:t>
      </w:r>
      <w:r w:rsidR="00B114C9" w:rsidRPr="00BE6707">
        <w:rPr>
          <w:rFonts w:ascii="Times New Roman" w:hAnsi="Times New Roman"/>
          <w:szCs w:val="24"/>
        </w:rPr>
        <w:t>,</w:t>
      </w:r>
      <w:r w:rsidRPr="00BE6707">
        <w:rPr>
          <w:rFonts w:ascii="Times New Roman" w:hAnsi="Times New Roman"/>
          <w:szCs w:val="24"/>
        </w:rPr>
        <w:t xml:space="preserve"> outre la qualité du dossier</w:t>
      </w:r>
      <w:r w:rsidR="00B114C9" w:rsidRPr="00BE6707">
        <w:rPr>
          <w:rFonts w:ascii="Times New Roman" w:hAnsi="Times New Roman"/>
          <w:szCs w:val="24"/>
        </w:rPr>
        <w:t>,</w:t>
      </w:r>
      <w:r w:rsidRPr="00BE6707">
        <w:rPr>
          <w:rFonts w:ascii="Times New Roman" w:hAnsi="Times New Roman"/>
          <w:szCs w:val="24"/>
        </w:rPr>
        <w:t xml:space="preserve"> la nécessité du séjour à l’étranger.</w:t>
      </w:r>
    </w:p>
    <w:p w14:paraId="496C2B06" w14:textId="77777777" w:rsidR="00BE6707" w:rsidRPr="00BE6707" w:rsidRDefault="00BE6707" w:rsidP="001D0A75">
      <w:pPr>
        <w:jc w:val="both"/>
        <w:rPr>
          <w:rFonts w:ascii="Times New Roman" w:hAnsi="Times New Roman"/>
          <w:szCs w:val="24"/>
        </w:rPr>
      </w:pPr>
    </w:p>
    <w:p w14:paraId="55BB6F94" w14:textId="77777777" w:rsidR="00BE6707" w:rsidRPr="00BE6707" w:rsidRDefault="00BE6707" w:rsidP="001D0A75">
      <w:pPr>
        <w:jc w:val="both"/>
        <w:rPr>
          <w:rFonts w:ascii="Times New Roman" w:hAnsi="Times New Roman"/>
          <w:szCs w:val="24"/>
          <w:u w:val="single"/>
        </w:rPr>
      </w:pPr>
      <w:r w:rsidRPr="00BE6707">
        <w:rPr>
          <w:rFonts w:ascii="Times New Roman" w:hAnsi="Times New Roman"/>
          <w:szCs w:val="24"/>
          <w:u w:val="single"/>
        </w:rPr>
        <w:t xml:space="preserve">En signant le formulaire de candidature, chaque candidate, chaque candidat, s’engage à fournir au Collège les justificatifs de dépenses ainsi qu’un rapport d’activité à l’issue de son programme de mobilité. </w:t>
      </w:r>
    </w:p>
    <w:p w14:paraId="12B457E9" w14:textId="77777777" w:rsidR="001D0A75" w:rsidRPr="00BE6707" w:rsidRDefault="001D0A75" w:rsidP="001D0A75">
      <w:pPr>
        <w:jc w:val="both"/>
        <w:rPr>
          <w:rFonts w:ascii="Times New Roman" w:hAnsi="Times New Roman"/>
          <w:szCs w:val="24"/>
        </w:rPr>
      </w:pPr>
    </w:p>
    <w:p w14:paraId="2B9D42A3" w14:textId="77777777" w:rsidR="00BF37F0" w:rsidRPr="00BE6707" w:rsidRDefault="00C0263D" w:rsidP="00A37325">
      <w:pPr>
        <w:jc w:val="both"/>
        <w:rPr>
          <w:rFonts w:ascii="Times New Roman" w:hAnsi="Times New Roman"/>
          <w:szCs w:val="24"/>
        </w:rPr>
      </w:pPr>
      <w:r w:rsidRPr="00BE6707">
        <w:rPr>
          <w:rFonts w:ascii="Times New Roman" w:hAnsi="Times New Roman"/>
          <w:b/>
          <w:szCs w:val="24"/>
        </w:rPr>
        <w:t xml:space="preserve">Les écoles doctorales devront retourner le dossier complet et dûment rempli </w:t>
      </w:r>
      <w:r w:rsidR="006137FA" w:rsidRPr="00BE6707">
        <w:rPr>
          <w:rFonts w:ascii="Times New Roman" w:hAnsi="Times New Roman"/>
          <w:b/>
          <w:szCs w:val="24"/>
        </w:rPr>
        <w:t>au Collège des é</w:t>
      </w:r>
      <w:r w:rsidR="001D0A75" w:rsidRPr="00BE6707">
        <w:rPr>
          <w:rFonts w:ascii="Times New Roman" w:hAnsi="Times New Roman"/>
          <w:b/>
          <w:szCs w:val="24"/>
        </w:rPr>
        <w:t>coles doctorales</w:t>
      </w:r>
      <w:r w:rsidRPr="00BE6707">
        <w:rPr>
          <w:rFonts w:ascii="Times New Roman" w:hAnsi="Times New Roman"/>
          <w:b/>
          <w:szCs w:val="24"/>
        </w:rPr>
        <w:t xml:space="preserve"> (Jérémy Pires)</w:t>
      </w:r>
      <w:r w:rsidR="001D0A75" w:rsidRPr="00BE6707">
        <w:rPr>
          <w:rFonts w:ascii="Times New Roman" w:hAnsi="Times New Roman"/>
          <w:b/>
          <w:szCs w:val="24"/>
        </w:rPr>
        <w:t xml:space="preserve"> avant le </w:t>
      </w:r>
      <w:r w:rsidR="00923C8B">
        <w:rPr>
          <w:rFonts w:ascii="Times New Roman" w:hAnsi="Times New Roman"/>
          <w:b/>
          <w:szCs w:val="24"/>
        </w:rPr>
        <w:t>vendredi 24 janvier 2025</w:t>
      </w:r>
      <w:r w:rsidR="00A37325">
        <w:rPr>
          <w:rFonts w:ascii="Times New Roman" w:hAnsi="Times New Roman"/>
          <w:b/>
          <w:szCs w:val="24"/>
        </w:rPr>
        <w:t>.</w:t>
      </w:r>
    </w:p>
    <w:sectPr w:rsidR="00BF37F0" w:rsidRPr="00BE6707" w:rsidSect="008A7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426" w:footer="5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9CBD2" w14:textId="77777777" w:rsidR="005B13C8" w:rsidRDefault="005B13C8" w:rsidP="007B2194">
      <w:r>
        <w:separator/>
      </w:r>
    </w:p>
  </w:endnote>
  <w:endnote w:type="continuationSeparator" w:id="0">
    <w:p w14:paraId="35BD372F" w14:textId="77777777" w:rsidR="005B13C8" w:rsidRDefault="005B13C8" w:rsidP="007B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ECF7" w14:textId="77777777" w:rsidR="008A7ABC" w:rsidRDefault="008A7A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9FF4" w14:textId="77777777" w:rsidR="007B2194" w:rsidRDefault="007B2194" w:rsidP="007B2194">
    <w:pPr>
      <w:pStyle w:val="Pieddepage"/>
      <w:jc w:val="center"/>
    </w:pPr>
    <w:r>
      <w:rPr>
        <w:rFonts w:ascii="Brandon Grotesque Medium" w:hAnsi="Brandon Grotesque Medium"/>
        <w:color w:val="00326E"/>
        <w:szCs w:val="24"/>
      </w:rPr>
      <w:t>Université Paris 1 Panthéon-Sorbonne</w:t>
    </w:r>
  </w:p>
  <w:p w14:paraId="595430B3" w14:textId="77777777" w:rsidR="007B2194" w:rsidRDefault="007B2194" w:rsidP="007B2194">
    <w:pPr>
      <w:pStyle w:val="Pieddepage"/>
      <w:ind w:left="9072" w:hanging="9072"/>
      <w:jc w:val="center"/>
    </w:pPr>
    <w:r>
      <w:rPr>
        <w:rFonts w:ascii="Brandon Grotesque Regular" w:hAnsi="Brandon Grotesque Regular"/>
        <w:color w:val="00326E"/>
        <w:sz w:val="18"/>
        <w:szCs w:val="18"/>
      </w:rPr>
      <w:t>12, place du Panthéon 75231 Paris Cedex 05 – Tél. : +33 (0)1 44 07 80 00 – www.univ-paris1.fr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1A0E" w14:textId="77777777" w:rsidR="008A7ABC" w:rsidRDefault="008A7A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3B82" w14:textId="77777777" w:rsidR="005B13C8" w:rsidRDefault="005B13C8" w:rsidP="007B2194">
      <w:r>
        <w:separator/>
      </w:r>
    </w:p>
  </w:footnote>
  <w:footnote w:type="continuationSeparator" w:id="0">
    <w:p w14:paraId="30485AF5" w14:textId="77777777" w:rsidR="005B13C8" w:rsidRDefault="005B13C8" w:rsidP="007B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1130" w14:textId="77777777" w:rsidR="008A7ABC" w:rsidRDefault="008A7A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8920" w14:textId="77777777" w:rsidR="007B2194" w:rsidRDefault="008A7ABC" w:rsidP="008A7ABC">
    <w:pPr>
      <w:pStyle w:val="En-tte"/>
      <w:jc w:val="center"/>
    </w:pPr>
    <w:r w:rsidRPr="00CC3BE0">
      <w:rPr>
        <w:b/>
      </w:rPr>
      <w:pict w14:anchorId="0FACC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1pt;height:123.95pt">
          <v:imagedata r:id="rId1" o:title="logo_direval_RV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DABE" w14:textId="77777777" w:rsidR="008A7ABC" w:rsidRDefault="008A7A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6A2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501DD"/>
    <w:multiLevelType w:val="hybridMultilevel"/>
    <w:tmpl w:val="91BA3384"/>
    <w:lvl w:ilvl="0" w:tplc="1F2EB00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48DD08E2"/>
    <w:multiLevelType w:val="hybridMultilevel"/>
    <w:tmpl w:val="E19EFB28"/>
    <w:lvl w:ilvl="0" w:tplc="603E7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25241792">
    <w:abstractNumId w:val="1"/>
  </w:num>
  <w:num w:numId="2" w16cid:durableId="1125269452">
    <w:abstractNumId w:val="0"/>
  </w:num>
  <w:num w:numId="3" w16cid:durableId="67708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472"/>
    <w:rsid w:val="00024BBE"/>
    <w:rsid w:val="00033689"/>
    <w:rsid w:val="00054E37"/>
    <w:rsid w:val="00062CD5"/>
    <w:rsid w:val="00070D12"/>
    <w:rsid w:val="00077BC4"/>
    <w:rsid w:val="00096C71"/>
    <w:rsid w:val="000A0023"/>
    <w:rsid w:val="000A51F0"/>
    <w:rsid w:val="000A7069"/>
    <w:rsid w:val="000C1FF4"/>
    <w:rsid w:val="000C20C9"/>
    <w:rsid w:val="000E6B49"/>
    <w:rsid w:val="00115AD1"/>
    <w:rsid w:val="00131DA3"/>
    <w:rsid w:val="00136F11"/>
    <w:rsid w:val="0015655D"/>
    <w:rsid w:val="00193050"/>
    <w:rsid w:val="00193150"/>
    <w:rsid w:val="001D0A75"/>
    <w:rsid w:val="001D4654"/>
    <w:rsid w:val="001D7072"/>
    <w:rsid w:val="00203B5F"/>
    <w:rsid w:val="00205472"/>
    <w:rsid w:val="00241CA8"/>
    <w:rsid w:val="002A6C71"/>
    <w:rsid w:val="002B0BB3"/>
    <w:rsid w:val="002B6028"/>
    <w:rsid w:val="002C4D72"/>
    <w:rsid w:val="002E7EE8"/>
    <w:rsid w:val="00300061"/>
    <w:rsid w:val="003352D0"/>
    <w:rsid w:val="0036271A"/>
    <w:rsid w:val="003B5ECA"/>
    <w:rsid w:val="003E1281"/>
    <w:rsid w:val="003E1AD9"/>
    <w:rsid w:val="0044409A"/>
    <w:rsid w:val="0044659B"/>
    <w:rsid w:val="00452B9A"/>
    <w:rsid w:val="004C3D53"/>
    <w:rsid w:val="004F1479"/>
    <w:rsid w:val="00535ED1"/>
    <w:rsid w:val="00567A76"/>
    <w:rsid w:val="005B13C8"/>
    <w:rsid w:val="005C1385"/>
    <w:rsid w:val="005D475F"/>
    <w:rsid w:val="006137FA"/>
    <w:rsid w:val="00624CD7"/>
    <w:rsid w:val="00634325"/>
    <w:rsid w:val="006657F9"/>
    <w:rsid w:val="00667F14"/>
    <w:rsid w:val="00691F47"/>
    <w:rsid w:val="006D5615"/>
    <w:rsid w:val="006F1119"/>
    <w:rsid w:val="00700CE5"/>
    <w:rsid w:val="00705836"/>
    <w:rsid w:val="00730F49"/>
    <w:rsid w:val="00746E94"/>
    <w:rsid w:val="00776E22"/>
    <w:rsid w:val="00781CD9"/>
    <w:rsid w:val="00790930"/>
    <w:rsid w:val="007A3A1C"/>
    <w:rsid w:val="007B2194"/>
    <w:rsid w:val="007B4F47"/>
    <w:rsid w:val="007D54E7"/>
    <w:rsid w:val="007F5464"/>
    <w:rsid w:val="0080391D"/>
    <w:rsid w:val="00812B98"/>
    <w:rsid w:val="00825688"/>
    <w:rsid w:val="0084467E"/>
    <w:rsid w:val="00870CB5"/>
    <w:rsid w:val="00887F5F"/>
    <w:rsid w:val="008A27B5"/>
    <w:rsid w:val="008A7ABC"/>
    <w:rsid w:val="008B378F"/>
    <w:rsid w:val="008C5BC4"/>
    <w:rsid w:val="008E07C8"/>
    <w:rsid w:val="008F259A"/>
    <w:rsid w:val="008F7363"/>
    <w:rsid w:val="00901539"/>
    <w:rsid w:val="00914A1D"/>
    <w:rsid w:val="00923C8B"/>
    <w:rsid w:val="00946A11"/>
    <w:rsid w:val="00982A8F"/>
    <w:rsid w:val="009B517C"/>
    <w:rsid w:val="009D274B"/>
    <w:rsid w:val="009D4C8C"/>
    <w:rsid w:val="009E7BB0"/>
    <w:rsid w:val="00A37325"/>
    <w:rsid w:val="00A4319E"/>
    <w:rsid w:val="00A5201E"/>
    <w:rsid w:val="00A55B38"/>
    <w:rsid w:val="00A74C15"/>
    <w:rsid w:val="00A816FD"/>
    <w:rsid w:val="00AA5718"/>
    <w:rsid w:val="00AC4F02"/>
    <w:rsid w:val="00B114C9"/>
    <w:rsid w:val="00B6632F"/>
    <w:rsid w:val="00BC7F95"/>
    <w:rsid w:val="00BE6707"/>
    <w:rsid w:val="00BF37F0"/>
    <w:rsid w:val="00C0263D"/>
    <w:rsid w:val="00C229AC"/>
    <w:rsid w:val="00C47894"/>
    <w:rsid w:val="00C5301E"/>
    <w:rsid w:val="00C64D6C"/>
    <w:rsid w:val="00C76C8B"/>
    <w:rsid w:val="00C7799F"/>
    <w:rsid w:val="00C850AC"/>
    <w:rsid w:val="00CB48E8"/>
    <w:rsid w:val="00CD16FE"/>
    <w:rsid w:val="00CD6403"/>
    <w:rsid w:val="00CF09ED"/>
    <w:rsid w:val="00CF26F1"/>
    <w:rsid w:val="00D6546A"/>
    <w:rsid w:val="00D74D69"/>
    <w:rsid w:val="00E50BB7"/>
    <w:rsid w:val="00E606AD"/>
    <w:rsid w:val="00E75DA5"/>
    <w:rsid w:val="00E85A54"/>
    <w:rsid w:val="00EB5D30"/>
    <w:rsid w:val="00EE7EB7"/>
    <w:rsid w:val="00EF27AB"/>
    <w:rsid w:val="00F004CA"/>
    <w:rsid w:val="00F24A75"/>
    <w:rsid w:val="00F52978"/>
    <w:rsid w:val="00F86112"/>
    <w:rsid w:val="00F96658"/>
    <w:rsid w:val="00FB02AB"/>
    <w:rsid w:val="00FB508C"/>
    <w:rsid w:val="00FC0030"/>
    <w:rsid w:val="00FC2D1C"/>
    <w:rsid w:val="00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E66B3C"/>
  <w15:chartTrackingRefBased/>
  <w15:docId w15:val="{61C694FE-E2B4-4CDE-A04B-D1CF64EE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BF37F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A27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A27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7B21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7B2194"/>
    <w:rPr>
      <w:sz w:val="24"/>
    </w:rPr>
  </w:style>
  <w:style w:type="paragraph" w:styleId="Pieddepage">
    <w:name w:val="footer"/>
    <w:basedOn w:val="Normal"/>
    <w:link w:val="PieddepageCar"/>
    <w:rsid w:val="007B2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B21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ABSENCE</vt:lpstr>
    </vt:vector>
  </TitlesOfParts>
  <Company>UNIVERSITE PARIS I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ABSENCE</dc:title>
  <dc:subject/>
  <dc:creator>PERSONNELS IATOS  B 781 /94</dc:creator>
  <cp:keywords/>
  <cp:lastModifiedBy>Victoria Constas</cp:lastModifiedBy>
  <cp:revision>2</cp:revision>
  <cp:lastPrinted>2015-01-14T08:20:00Z</cp:lastPrinted>
  <dcterms:created xsi:type="dcterms:W3CDTF">2024-12-17T09:17:00Z</dcterms:created>
  <dcterms:modified xsi:type="dcterms:W3CDTF">2024-12-17T09:17:00Z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2024-12-17T09:17:32Z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cec8e132-4375-4f25-97c5-b7b2b42a14ea</vt:lpwstr>
  </property>
  <property fmtid="{D5CDD505-2E9C-101B-9397-08002B2CF9AE}" pid="8" name="MSIP_Label_d5c20be7-c3a5-46e3-9158-fa8a02ce2395_ContentBits">
    <vt:lpwstr>0</vt:lpwstr>
  </property>
</Properties>
</file>